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C638C8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8770A">
              <w:t>18.11.2018, 17 часов 38 минуты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C638C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8770A">
              <w:t>Филиал ПАО «ФСК ЕЭС» Ставропольское ПМЭС</w:t>
            </w:r>
            <w:proofErr w:type="gramStart"/>
            <w:r w:rsidRPr="0066397C">
              <w:rPr>
                <w:sz w:val="22"/>
              </w:rPr>
              <w:t xml:space="preserve"> ;</w:t>
            </w:r>
            <w:proofErr w:type="gramEnd"/>
            <w:r w:rsidRPr="0066397C">
              <w:rPr>
                <w:sz w:val="22"/>
              </w:rPr>
              <w:t xml:space="preserve"> АО «Дагестанская сетевая компания»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t>ПАО « ФСК ЕЭС»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C638C8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8770A">
              <w:t xml:space="preserve">ПС 330 </w:t>
            </w:r>
            <w:proofErr w:type="spellStart"/>
            <w:r w:rsidRPr="0008770A">
              <w:t>кВ</w:t>
            </w:r>
            <w:proofErr w:type="spellEnd"/>
            <w:r w:rsidRPr="0008770A">
              <w:t xml:space="preserve"> Владикавказ-2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C638C8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 w:rsidRPr="0008770A">
              <w:t xml:space="preserve">Нарушения в работе противоаварийной или режимной автоматики, в том числе обусловленные ошибочными действиями персонала, вызвавшие отключение объекта электросетевого хозяйства (высший класс напряжения 110 </w:t>
            </w:r>
            <w:proofErr w:type="spellStart"/>
            <w:r w:rsidRPr="0008770A">
              <w:t>кВ</w:t>
            </w:r>
            <w:proofErr w:type="spellEnd"/>
            <w:r w:rsidRPr="0008770A">
              <w:t xml:space="preserve"> и выше), отключение (включение) генерирующего оборудования, суммарная мощность которого составляет 100 МВт и более, или прекращение электроснабжения потребителей электрической энергии, суммарная мощность потребления которых составляет 100 МВт и более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366CFE" w:rsidRDefault="00366CFE" w:rsidP="00366CFE">
            <w:pPr>
              <w:rPr>
                <w:rFonts w:ascii="Times New Roman" w:hAnsi="Times New Roman" w:cs="Times New Roman"/>
              </w:rPr>
            </w:pPr>
            <w:r w:rsidRPr="00366CFE">
              <w:rPr>
                <w:rFonts w:ascii="Times New Roman" w:hAnsi="Times New Roman" w:cs="Times New Roman"/>
              </w:rPr>
              <w:t>Краткое  описание аварии</w:t>
            </w:r>
            <w:proofErr w:type="gramStart"/>
            <w:r w:rsidRPr="00366CFE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366CFE" w:rsidRPr="00366CFE" w:rsidTr="00781C4C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18.11 в 17-38 на ПС 330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Владикавказ-2 ПРД АКА 492 кГц </w:t>
                  </w:r>
                  <w:proofErr w:type="gramStart"/>
                  <w:r w:rsidRPr="006B2EBD">
                    <w:rPr>
                      <w:rFonts w:eastAsia="Times New Roman"/>
                    </w:rPr>
                    <w:t>ВЛ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330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Владикавказ-2 - Владикавказ-500 была ложно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сформирована команда №8 "ОН 100 ВЧ". В соответствии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с заданной логикой прохождения данная команда была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proofErr w:type="gramStart"/>
                  <w:r w:rsidRPr="006B2EBD">
                    <w:rPr>
                      <w:rFonts w:eastAsia="Times New Roman"/>
                    </w:rPr>
                    <w:t>реализована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на ОН Восточной части в Ставропольском крае, </w:t>
                  </w:r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>Республике Северная Осетия - Алания, Кабардино-Балкарской Республике, в Республике Дагестан и Чеченской Республике.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В операционной зоне Дагестанского РДУ, на ПС 330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proofErr w:type="spellStart"/>
                  <w:r w:rsidRPr="006B2EBD">
                    <w:rPr>
                      <w:rFonts w:eastAsia="Times New Roman"/>
                    </w:rPr>
                    <w:t>Чирюрт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по факту приема команды "ОН 100 ВЧ" в УПАЭ 1 и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2 полукомплектах (в составе ЛАДВ) команда ретранслирована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proofErr w:type="gramStart"/>
                  <w:r w:rsidRPr="006B2EBD">
                    <w:rPr>
                      <w:rFonts w:eastAsia="Times New Roman"/>
                    </w:rPr>
                    <w:t xml:space="preserve">реализацию ОН-1 (ОН </w:t>
                  </w:r>
                  <w:proofErr w:type="spellStart"/>
                  <w:r w:rsidRPr="006B2EBD">
                    <w:rPr>
                      <w:rFonts w:eastAsia="Times New Roman"/>
                    </w:rPr>
                    <w:t>Нурэн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ДЭ); ОН-2 (1 оч.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Сев. </w:t>
                  </w:r>
                  <w:proofErr w:type="gramStart"/>
                  <w:r w:rsidRPr="006B2EBD">
                    <w:rPr>
                      <w:rFonts w:eastAsia="Times New Roman"/>
                    </w:rPr>
                    <w:t xml:space="preserve">ДЭ); ОН-3 </w:t>
                  </w:r>
                  <w:proofErr w:type="gramEnd"/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proofErr w:type="gramStart"/>
                  <w:r w:rsidRPr="006B2EBD">
                    <w:rPr>
                      <w:rFonts w:eastAsia="Times New Roman"/>
                    </w:rPr>
                    <w:t>(2 оч.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Сев. </w:t>
                  </w:r>
                  <w:proofErr w:type="gramStart"/>
                  <w:r w:rsidRPr="006B2EBD">
                    <w:rPr>
                      <w:rFonts w:eastAsia="Times New Roman"/>
                    </w:rPr>
                    <w:t>ДЭ).</w:t>
                  </w:r>
                  <w:proofErr w:type="gramEnd"/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При этом: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ОН-1, посредством передачи команд по ВЧ-каналам: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Акташ на отключение В-149; на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B2EBD">
                    <w:rPr>
                      <w:rFonts w:eastAsia="Times New Roman"/>
                    </w:rPr>
                    <w:t>Ярыксу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отключение В-128.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ОН-2, посредством передачи команд по ВЧ-каналам: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Акташ на отключение В-139, В140, в том числе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на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Кизляр-1 действием АМН отключился В-148;</w:t>
                  </w:r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 на Каскад </w:t>
                  </w:r>
                  <w:proofErr w:type="spellStart"/>
                  <w:r w:rsidRPr="006B2EBD">
                    <w:rPr>
                      <w:rFonts w:eastAsia="Times New Roman"/>
                    </w:rPr>
                    <w:t>Чирюртских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ГЭС на отключение Л-Х1.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ОН-3, посредством передачи команд по ВЧ-каналам: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B2EBD">
                    <w:rPr>
                      <w:rFonts w:eastAsia="Times New Roman"/>
                    </w:rPr>
                    <w:t>Ярыксу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на отключение В-110-Т-1, В-110-Т-2; </w:t>
                  </w:r>
                  <w:proofErr w:type="gramStart"/>
                  <w:r w:rsidRPr="006B2EBD">
                    <w:rPr>
                      <w:rFonts w:eastAsia="Times New Roman"/>
                    </w:rPr>
                    <w:t>на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</w:t>
                  </w:r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Акташ В-110-Т-1, В-110-Т-2.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Обесточено по операционной зоне </w:t>
                  </w:r>
                  <w:proofErr w:type="gramStart"/>
                  <w:r w:rsidRPr="006B2EBD">
                    <w:rPr>
                      <w:rFonts w:eastAsia="Times New Roman"/>
                    </w:rPr>
                    <w:t>Дагестанского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 РДУ 8 </w:t>
                  </w:r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: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Куруш,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B2EBD">
                    <w:rPr>
                      <w:rFonts w:eastAsia="Times New Roman"/>
                    </w:rPr>
                    <w:t>Сулевкент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</w:p>
                <w:p w:rsidR="00C638C8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Бабаюрт,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</w:t>
                  </w:r>
                  <w:proofErr w:type="gramStart"/>
                  <w:r w:rsidRPr="006B2EBD">
                    <w:rPr>
                      <w:rFonts w:eastAsia="Times New Roman"/>
                    </w:rPr>
                    <w:t>Львовская</w:t>
                  </w:r>
                  <w:proofErr w:type="gramEnd"/>
                  <w:r w:rsidRPr="006B2EBD">
                    <w:rPr>
                      <w:rFonts w:eastAsia="Times New Roman"/>
                    </w:rPr>
                    <w:t xml:space="preserve">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Кизляр-1, </w:t>
                  </w:r>
                </w:p>
                <w:p w:rsidR="00C638C8" w:rsidRPr="006B2EBD" w:rsidRDefault="00C638C8" w:rsidP="00C638C8">
                  <w:pPr>
                    <w:jc w:val="both"/>
                    <w:rPr>
                      <w:rFonts w:eastAsia="Times New Roman"/>
                    </w:rPr>
                  </w:pPr>
                  <w:r w:rsidRPr="006B2EBD">
                    <w:rPr>
                      <w:rFonts w:eastAsia="Times New Roman"/>
                    </w:rPr>
                    <w:t xml:space="preserve">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Речная,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Кизляр-2, ПС 110 </w:t>
                  </w:r>
                  <w:proofErr w:type="spellStart"/>
                  <w:r w:rsidRPr="006B2EBD">
                    <w:rPr>
                      <w:rFonts w:eastAsia="Times New Roman"/>
                    </w:rPr>
                    <w:t>кВ</w:t>
                  </w:r>
                  <w:proofErr w:type="spellEnd"/>
                  <w:r w:rsidRPr="006B2EBD">
                    <w:rPr>
                      <w:rFonts w:eastAsia="Times New Roman"/>
                    </w:rPr>
                    <w:t xml:space="preserve"> Александрия.</w:t>
                  </w:r>
                </w:p>
                <w:p w:rsidR="00366CFE" w:rsidRPr="00366CFE" w:rsidRDefault="00366CFE" w:rsidP="00781C4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963E95" w:rsidRPr="00C7407A" w:rsidRDefault="00963E95" w:rsidP="00B141F2">
            <w:pPr>
              <w:pStyle w:val="Standard"/>
              <w:jc w:val="both"/>
              <w:rPr>
                <w:color w:val="FF0000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В операционной зоне </w:t>
            </w:r>
            <w:proofErr w:type="gramStart"/>
            <w:r w:rsidRPr="006B2EBD">
              <w:rPr>
                <w:rFonts w:eastAsia="Times New Roman"/>
              </w:rPr>
              <w:t>Северокавказского</w:t>
            </w:r>
            <w:proofErr w:type="gramEnd"/>
            <w:r w:rsidRPr="006B2EBD">
              <w:rPr>
                <w:rFonts w:eastAsia="Times New Roman"/>
              </w:rPr>
              <w:t xml:space="preserve"> РДУ отключились: 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330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Прохладная-2: ВМ Л-90, ВМ Л-89, ВМ Л-85, ВМ Л-183, ВМ Л-184;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330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Моздок: МВ-110-Л-90, МВ-110-Л-135, МВ-110-Л-137, МВ-110-Л-158;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330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Владикавказ-500: ВВ-110-Л-133, ВВ-110-Л-134;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lastRenderedPageBreak/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Иличевская</w:t>
            </w:r>
            <w:proofErr w:type="spellEnd"/>
            <w:r w:rsidRPr="006B2EBD">
              <w:rPr>
                <w:rFonts w:eastAsia="Times New Roman"/>
              </w:rPr>
              <w:t>: Т-101;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Учкекен: Т-101, </w:t>
            </w:r>
            <w:proofErr w:type="gramStart"/>
            <w:r w:rsidRPr="006B2EBD">
              <w:rPr>
                <w:rFonts w:eastAsia="Times New Roman"/>
              </w:rPr>
              <w:t>ВЛ</w:t>
            </w:r>
            <w:proofErr w:type="gramEnd"/>
            <w:r w:rsidRPr="006B2EBD">
              <w:rPr>
                <w:rFonts w:eastAsia="Times New Roman"/>
              </w:rPr>
              <w:t xml:space="preserve"> 35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Л-324, 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Владикавказ-1: Ф 6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1-11, 13;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Беслан: Ф 6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4-6, 9-14; ВЛ-35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Л-435, Л-429;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Акташ: В-148;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Ярыксу</w:t>
            </w:r>
            <w:proofErr w:type="spellEnd"/>
            <w:r w:rsidRPr="006B2EBD">
              <w:rPr>
                <w:rFonts w:eastAsia="Times New Roman"/>
              </w:rPr>
              <w:t>: В-128;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на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Кизляр-1 действием АМН отключился В-148;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САОН </w:t>
            </w:r>
            <w:proofErr w:type="gramStart"/>
            <w:r w:rsidRPr="006B2EBD">
              <w:rPr>
                <w:rFonts w:eastAsia="Times New Roman"/>
              </w:rPr>
              <w:t>реализован</w:t>
            </w:r>
            <w:proofErr w:type="gramEnd"/>
            <w:r w:rsidRPr="006B2EBD">
              <w:rPr>
                <w:rFonts w:eastAsia="Times New Roman"/>
              </w:rPr>
              <w:t xml:space="preserve"> в полном объеме</w:t>
            </w:r>
            <w:r w:rsidRPr="006B2EBD">
              <w:rPr>
                <w:rFonts w:eastAsia="Times New Roman"/>
                <w:color w:val="0000FF"/>
              </w:rPr>
              <w:t>.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Обесточено по операционной зоне </w:t>
            </w:r>
            <w:proofErr w:type="gramStart"/>
            <w:r w:rsidRPr="006B2EBD">
              <w:rPr>
                <w:rFonts w:eastAsia="Times New Roman"/>
              </w:rPr>
              <w:t>Северокавказского</w:t>
            </w:r>
            <w:proofErr w:type="gramEnd"/>
            <w:r w:rsidRPr="006B2EBD">
              <w:rPr>
                <w:rFonts w:eastAsia="Times New Roman"/>
              </w:rPr>
              <w:t xml:space="preserve"> РДУ: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Обесточено по Ставропольскому краю: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gramStart"/>
            <w:r w:rsidRPr="006B2EBD">
              <w:rPr>
                <w:rFonts w:eastAsia="Times New Roman"/>
              </w:rPr>
              <w:t>Троицкая</w:t>
            </w:r>
            <w:proofErr w:type="gram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Восток,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Соломенская</w:t>
            </w:r>
            <w:proofErr w:type="spell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Ростовановская</w:t>
            </w:r>
            <w:proofErr w:type="spellEnd"/>
            <w:r w:rsidRPr="006B2EBD">
              <w:rPr>
                <w:rFonts w:eastAsia="Times New Roman"/>
              </w:rPr>
              <w:t>.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Обесточено по Республике Северная Осетия - Алания: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Ольгинская</w:t>
            </w:r>
            <w:proofErr w:type="spell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gramStart"/>
            <w:r w:rsidRPr="006B2EBD">
              <w:rPr>
                <w:rFonts w:eastAsia="Times New Roman"/>
              </w:rPr>
              <w:t>Терская</w:t>
            </w:r>
            <w:proofErr w:type="gram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Предмостная,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Моздок-110,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Терек-110,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Павлодольская-110.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Обесточено по Чеченской Республике: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Каргалиновская</w:t>
            </w:r>
            <w:proofErr w:type="spell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Шелковская, 1СШ-110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gramStart"/>
            <w:r w:rsidRPr="006B2EBD">
              <w:rPr>
                <w:rFonts w:eastAsia="Times New Roman"/>
              </w:rPr>
              <w:t>Гудермес-Тяговая</w:t>
            </w:r>
            <w:proofErr w:type="gramEnd"/>
            <w:r w:rsidRPr="006B2EBD">
              <w:rPr>
                <w:rFonts w:eastAsia="Times New Roman"/>
              </w:rPr>
              <w:t xml:space="preserve">, 1СШ-110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Гудермес-Сити,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Гудермес,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Ойсунгур</w:t>
            </w:r>
            <w:proofErr w:type="spellEnd"/>
            <w:r w:rsidRPr="006B2EBD">
              <w:rPr>
                <w:rFonts w:eastAsia="Times New Roman"/>
              </w:rPr>
              <w:t xml:space="preserve">, 1СШ-110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Курчалой.</w:t>
            </w:r>
          </w:p>
          <w:p w:rsidR="00C638C8" w:rsidRPr="006B2EBD" w:rsidRDefault="00C638C8" w:rsidP="00C638C8">
            <w:pPr>
              <w:jc w:val="both"/>
              <w:rPr>
                <w:rFonts w:eastAsia="Times New Roman"/>
              </w:rPr>
            </w:pPr>
            <w:r w:rsidRPr="006B2EBD">
              <w:rPr>
                <w:rFonts w:eastAsia="Times New Roman"/>
              </w:rPr>
              <w:t xml:space="preserve">Обесточено по Кабардино-Балкарской Республике: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Екатериноградская</w:t>
            </w:r>
            <w:proofErr w:type="spell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Котляревская</w:t>
            </w:r>
            <w:proofErr w:type="spell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gramStart"/>
            <w:r w:rsidRPr="006B2EBD">
              <w:rPr>
                <w:rFonts w:eastAsia="Times New Roman"/>
              </w:rPr>
              <w:t>Майская</w:t>
            </w:r>
            <w:proofErr w:type="gramEnd"/>
            <w:r w:rsidRPr="006B2EBD">
              <w:rPr>
                <w:rFonts w:eastAsia="Times New Roman"/>
              </w:rPr>
              <w:t xml:space="preserve">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Терек-2,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Верхний Акбаш,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</w:t>
            </w:r>
            <w:proofErr w:type="spellStart"/>
            <w:r w:rsidRPr="006B2EBD">
              <w:rPr>
                <w:rFonts w:eastAsia="Times New Roman"/>
              </w:rPr>
              <w:t>Муртазово</w:t>
            </w:r>
            <w:proofErr w:type="spellEnd"/>
            <w:r w:rsidRPr="006B2EBD">
              <w:rPr>
                <w:rFonts w:eastAsia="Times New Roman"/>
              </w:rPr>
              <w:t xml:space="preserve">-Тяговая, ПС 110 </w:t>
            </w:r>
            <w:proofErr w:type="spellStart"/>
            <w:r w:rsidRPr="006B2EBD">
              <w:rPr>
                <w:rFonts w:eastAsia="Times New Roman"/>
              </w:rPr>
              <w:t>кВ</w:t>
            </w:r>
            <w:proofErr w:type="spellEnd"/>
            <w:r w:rsidRPr="006B2EBD">
              <w:rPr>
                <w:rFonts w:eastAsia="Times New Roman"/>
              </w:rPr>
              <w:t xml:space="preserve"> ЗКИ.</w:t>
            </w:r>
          </w:p>
          <w:p w:rsidR="00963E95" w:rsidRPr="00C7407A" w:rsidRDefault="00963E95" w:rsidP="00366CF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0B1" w:rsidRPr="00C7407A" w:rsidRDefault="003A30A1" w:rsidP="00AE20B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A30A1"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AE20B1">
              <w:t xml:space="preserve"> Технической причиной ложного формирования модулем MIO-14 на ПС 330 </w:t>
            </w:r>
            <w:proofErr w:type="spellStart"/>
            <w:r w:rsidR="00AE20B1">
              <w:t>кВ</w:t>
            </w:r>
            <w:proofErr w:type="spellEnd"/>
            <w:r w:rsidR="00AE20B1">
              <w:t xml:space="preserve"> Владикавказ-2 ПРМ команды ОН-100 ВЧ явилось появление импульсной помехи в цепях оперативного постоянного тока, что привело к срабатыванию входа с оптроном ПРМ команды. При проведении проверки модуля MIO-14 на ПС 330 </w:t>
            </w:r>
            <w:proofErr w:type="spellStart"/>
            <w:r w:rsidR="00AE20B1">
              <w:t>кВ</w:t>
            </w:r>
            <w:proofErr w:type="spellEnd"/>
            <w:r w:rsidR="00AE20B1">
              <w:t xml:space="preserve"> Владикавказ-2 и в лаборатор</w:t>
            </w:r>
            <w:proofErr w:type="gramStart"/>
            <w:r w:rsidR="00AE20B1">
              <w:t>ии ООО</w:t>
            </w:r>
            <w:proofErr w:type="gramEnd"/>
            <w:r w:rsidR="00AE20B1">
              <w:t xml:space="preserve"> «АВВ» не выявила ухудшения характеристик или дефектов элементов, модуль соответствует требованиям, изложенным в разработанной ООО «АББ» «Инструкции по техническому обслуживанию панели управления СР-24», утвержденной 25.10.2010. Характер и величина импульсной помехи способная привести к срабатыванию модуля MIO-14 не регламентирована требованиями к электромагнитной совместимости на УПАСК </w:t>
            </w:r>
            <w:proofErr w:type="gramStart"/>
            <w:r w:rsidR="00AE20B1">
              <w:t>выпущенных</w:t>
            </w:r>
            <w:proofErr w:type="gramEnd"/>
            <w:r w:rsidR="00AE20B1">
              <w:t xml:space="preserve"> до 2010 года.</w:t>
            </w:r>
          </w:p>
          <w:p w:rsidR="00963E95" w:rsidRPr="00C7407A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638" w:rsidRPr="0008770A" w:rsidRDefault="00FF6638" w:rsidP="00FF6638">
            <w:pPr>
              <w:spacing w:after="120"/>
              <w:jc w:val="both"/>
            </w:pPr>
            <w:r>
              <w:t>2.</w:t>
            </w:r>
            <w:r w:rsidRPr="0008770A">
              <w:t xml:space="preserve">Формирование команды № 14 на входе ПРМ модуля MIO-14 на ПС 330 </w:t>
            </w:r>
            <w:proofErr w:type="spellStart"/>
            <w:r w:rsidRPr="0008770A">
              <w:t>кВ</w:t>
            </w:r>
            <w:proofErr w:type="spellEnd"/>
            <w:r w:rsidRPr="0008770A">
              <w:t xml:space="preserve"> Владикавказ-2 из-за прохождения помехи в цепях оперативного постоянного тока, что привело к срабатыванию микропроцессорных комп</w:t>
            </w:r>
            <w:r>
              <w:t>онентов входа ПРМ модуля MIO-14</w:t>
            </w:r>
            <w:r w:rsidRPr="0008770A">
              <w:t xml:space="preserve"> и, как следствие, формированию на выходе модуля ложной команды ОН-100 ВЧ. </w:t>
            </w:r>
          </w:p>
          <w:p w:rsidR="00963E95" w:rsidRPr="003A30A1" w:rsidRDefault="00FF6638" w:rsidP="00FF663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8770A">
              <w:t xml:space="preserve">Модули MIO-14 разрабатывались и производились ООО «АВВ» до 2012 года, до принятия требований, закреплённых в </w:t>
            </w:r>
            <w:hyperlink r:id="rId7" w:tgtFrame="_blank" w:history="1">
              <w:r w:rsidRPr="0008770A">
                <w:t>СТО 56947007-33.040.20.123-2012 «Аттестационные требования к устройствам противоаварийной автоматики (ПА)</w:t>
              </w:r>
            </w:hyperlink>
            <w:r w:rsidRPr="0008770A">
              <w:t>» и не в полном объеме соответствуют</w:t>
            </w:r>
            <w:r>
              <w:t xml:space="preserve"> требованиям</w:t>
            </w:r>
            <w:r w:rsidRPr="0008770A">
              <w:t xml:space="preserve"> </w:t>
            </w:r>
            <w:r>
              <w:t>указанного выше СТО</w:t>
            </w:r>
            <w:r w:rsidRPr="00F36E39">
              <w:t>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F4EE4" w:rsidRDefault="00FF6638" w:rsidP="00366CF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  <w:r w:rsidR="00366CFE" w:rsidRPr="008F4EE4">
              <w:rPr>
                <w:sz w:val="22"/>
              </w:rPr>
              <w:t>Технические мероприятия</w:t>
            </w:r>
          </w:p>
          <w:p w:rsidR="00FF6638" w:rsidRPr="00E84635" w:rsidRDefault="00FF6638" w:rsidP="00FF6638">
            <w:pPr>
              <w:rPr>
                <w:sz w:val="22"/>
              </w:rPr>
            </w:pPr>
            <w:r>
              <w:rPr>
                <w:sz w:val="22"/>
              </w:rPr>
              <w:t>3.</w:t>
            </w:r>
            <w:r w:rsidRPr="00E84635">
              <w:rPr>
                <w:sz w:val="22"/>
              </w:rPr>
              <w:t>1</w:t>
            </w:r>
            <w:proofErr w:type="gramStart"/>
            <w:r w:rsidRPr="00E84635">
              <w:rPr>
                <w:sz w:val="22"/>
              </w:rPr>
              <w:t xml:space="preserve"> </w:t>
            </w:r>
            <w:r w:rsidRPr="0008770A">
              <w:t>П</w:t>
            </w:r>
            <w:proofErr w:type="gramEnd"/>
            <w:r w:rsidRPr="0008770A">
              <w:t xml:space="preserve">ровести замену модулей MIO-14 в СР-24 на ПС 330 </w:t>
            </w:r>
            <w:proofErr w:type="spellStart"/>
            <w:r w:rsidRPr="0008770A">
              <w:t>кВ</w:t>
            </w:r>
            <w:proofErr w:type="spellEnd"/>
            <w:r w:rsidRPr="0008770A">
              <w:t xml:space="preserve"> </w:t>
            </w:r>
            <w:r w:rsidRPr="0008770A">
              <w:lastRenderedPageBreak/>
              <w:t>Владикавказ-2.</w:t>
            </w:r>
            <w:r w:rsidRPr="00E84635">
              <w:rPr>
                <w:bCs/>
                <w:sz w:val="22"/>
              </w:rPr>
              <w:t xml:space="preserve">ПС 110 </w:t>
            </w:r>
            <w:proofErr w:type="spellStart"/>
            <w:r w:rsidRPr="00E84635">
              <w:rPr>
                <w:bCs/>
                <w:sz w:val="22"/>
              </w:rPr>
              <w:t>кВ</w:t>
            </w:r>
            <w:proofErr w:type="spellEnd"/>
            <w:r w:rsidRPr="00E84635">
              <w:rPr>
                <w:bCs/>
                <w:sz w:val="22"/>
              </w:rPr>
              <w:t xml:space="preserve"> Буйнакск-2.</w:t>
            </w:r>
          </w:p>
          <w:p w:rsidR="00FF6638" w:rsidRDefault="00FF6638" w:rsidP="00FF6638">
            <w:pPr>
              <w:rPr>
                <w:sz w:val="22"/>
              </w:rPr>
            </w:pPr>
          </w:p>
          <w:p w:rsidR="00963E95" w:rsidRPr="00C7407A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F4EE4" w:rsidRDefault="00FF6638" w:rsidP="00366CFE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="00366CFE">
              <w:rPr>
                <w:sz w:val="22"/>
              </w:rPr>
              <w:t>.</w:t>
            </w:r>
            <w:r w:rsidR="00366CFE" w:rsidRPr="008F4EE4">
              <w:rPr>
                <w:sz w:val="22"/>
              </w:rPr>
              <w:t>Организационные мероприятия</w:t>
            </w:r>
            <w:proofErr w:type="gramStart"/>
            <w:r w:rsidR="00366CFE" w:rsidRPr="008F4EE4">
              <w:rPr>
                <w:sz w:val="22"/>
              </w:rPr>
              <w:t xml:space="preserve"> :</w:t>
            </w:r>
            <w:proofErr w:type="gramEnd"/>
          </w:p>
          <w:p w:rsidR="00FF6638" w:rsidRDefault="00FF6638" w:rsidP="00FF6638">
            <w:pPr>
              <w:rPr>
                <w:bCs/>
              </w:rPr>
            </w:pPr>
            <w:r>
              <w:rPr>
                <w:sz w:val="22"/>
              </w:rPr>
              <w:t>4</w:t>
            </w:r>
            <w:r w:rsidRPr="000445CB">
              <w:rPr>
                <w:sz w:val="22"/>
              </w:rPr>
              <w:t>.1</w:t>
            </w:r>
            <w:proofErr w:type="gramStart"/>
            <w:r w:rsidRPr="000445CB">
              <w:rPr>
                <w:bCs/>
                <w:sz w:val="22"/>
              </w:rPr>
              <w:t xml:space="preserve"> </w:t>
            </w:r>
            <w:r w:rsidRPr="0008770A">
              <w:t>А</w:t>
            </w:r>
            <w:proofErr w:type="gramEnd"/>
            <w:r w:rsidRPr="0008770A">
              <w:t>ктуализировать утвержденную 25.10.2010 «Инструкцию по техническому обслуживанию панели упра</w:t>
            </w:r>
            <w:r w:rsidRPr="0008770A">
              <w:t>в</w:t>
            </w:r>
            <w:r w:rsidRPr="0008770A">
              <w:t>ления СР-24».</w:t>
            </w:r>
          </w:p>
          <w:p w:rsidR="00FF6638" w:rsidRDefault="00FF6638" w:rsidP="00FF6638">
            <w:r>
              <w:rPr>
                <w:bCs/>
                <w:sz w:val="22"/>
              </w:rPr>
              <w:t>4</w:t>
            </w:r>
            <w:r w:rsidRPr="000445CB">
              <w:rPr>
                <w:bCs/>
                <w:sz w:val="22"/>
              </w:rPr>
              <w:t>.2</w:t>
            </w:r>
            <w:proofErr w:type="gramStart"/>
            <w:r w:rsidRPr="000445CB">
              <w:rPr>
                <w:bCs/>
                <w:sz w:val="22"/>
              </w:rPr>
              <w:t xml:space="preserve"> </w:t>
            </w:r>
            <w:r w:rsidRPr="0008770A">
              <w:t>Н</w:t>
            </w:r>
            <w:proofErr w:type="gramEnd"/>
            <w:r w:rsidRPr="0008770A">
              <w:t>аправить актуализированную «Инструкцию по техническому о</w:t>
            </w:r>
            <w:r w:rsidRPr="0008770A">
              <w:t>б</w:t>
            </w:r>
            <w:r w:rsidRPr="0008770A">
              <w:t>служиванию панели управления СР-24» в МЭС Юга.</w:t>
            </w:r>
          </w:p>
          <w:p w:rsidR="00FF6638" w:rsidRDefault="00FF6638" w:rsidP="00FF6638">
            <w:r>
              <w:rPr>
                <w:bCs/>
                <w:sz w:val="22"/>
              </w:rPr>
              <w:t>4</w:t>
            </w:r>
            <w:r w:rsidRPr="000445CB">
              <w:rPr>
                <w:bCs/>
                <w:sz w:val="22"/>
              </w:rPr>
              <w:t xml:space="preserve">.3 </w:t>
            </w:r>
            <w:r w:rsidRPr="003207BA">
              <w:t xml:space="preserve">Составить план-график замены </w:t>
            </w:r>
            <w:proofErr w:type="spellStart"/>
            <w:r w:rsidRPr="003207BA">
              <w:t>немодернизированных</w:t>
            </w:r>
            <w:proofErr w:type="spellEnd"/>
            <w:r w:rsidRPr="003207BA">
              <w:t xml:space="preserve"> модулей MIO-14 на модернизированные в СР-24 на объектах МЭС </w:t>
            </w:r>
            <w:proofErr w:type="gramStart"/>
            <w:r w:rsidRPr="003207BA">
              <w:t>Ю</w:t>
            </w:r>
            <w:proofErr w:type="gramEnd"/>
          </w:p>
          <w:p w:rsidR="00FF6638" w:rsidRDefault="00FF6638" w:rsidP="00FF6638">
            <w:pPr>
              <w:contextualSpacing/>
              <w:jc w:val="both"/>
              <w:rPr>
                <w:rFonts w:eastAsia="Calibri"/>
              </w:rPr>
            </w:pPr>
            <w:r>
              <w:rPr>
                <w:bCs/>
                <w:sz w:val="22"/>
              </w:rPr>
              <w:t>4</w:t>
            </w:r>
            <w:r w:rsidRPr="000445CB">
              <w:rPr>
                <w:bCs/>
                <w:sz w:val="22"/>
              </w:rPr>
              <w:t>.4</w:t>
            </w:r>
            <w:proofErr w:type="gramStart"/>
            <w:r w:rsidRPr="000445CB">
              <w:rPr>
                <w:bCs/>
                <w:sz w:val="22"/>
              </w:rPr>
              <w:t xml:space="preserve"> </w:t>
            </w:r>
            <w:r w:rsidRPr="0050467C">
              <w:rPr>
                <w:rFonts w:eastAsia="Calibri"/>
              </w:rPr>
              <w:t>И</w:t>
            </w:r>
            <w:proofErr w:type="gramEnd"/>
            <w:r w:rsidRPr="0050467C">
              <w:rPr>
                <w:rFonts w:eastAsia="Calibri"/>
              </w:rPr>
              <w:t>нициировать рассмотрение вопроса о необходимости закрепления в нормативных документах тр</w:t>
            </w:r>
            <w:r w:rsidRPr="0050467C">
              <w:rPr>
                <w:rFonts w:eastAsia="Calibri"/>
              </w:rPr>
              <w:t>е</w:t>
            </w:r>
            <w:r w:rsidRPr="0050467C">
              <w:rPr>
                <w:rFonts w:eastAsia="Calibri"/>
              </w:rPr>
              <w:t>бований к передаче и приему аварийных сигналов и команд устройствами противоаварийной автоматики с целью исключения (минимизации) ложной работы устройств противоаварийной автоматики при единичных отказах устройств ПА или ошибках персонала.</w:t>
            </w:r>
          </w:p>
          <w:p w:rsidR="003A30A1" w:rsidRPr="003A30A1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FF6638" w:rsidP="00FF6638">
            <w:pPr>
              <w:tabs>
                <w:tab w:val="left" w:pos="3992"/>
              </w:tabs>
              <w:spacing w:after="200" w:line="276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>
              <w:rPr>
                <w:bCs/>
              </w:rPr>
              <w:t>В</w:t>
            </w:r>
            <w:r w:rsidRPr="00762DB1">
              <w:rPr>
                <w:bCs/>
              </w:rPr>
              <w:t>ходе</w:t>
            </w:r>
            <w:proofErr w:type="gramEnd"/>
            <w:r w:rsidRPr="00762DB1">
              <w:rPr>
                <w:bCs/>
              </w:rPr>
              <w:t xml:space="preserve"> расследования выявлено</w:t>
            </w:r>
            <w:r>
              <w:rPr>
                <w:bCs/>
              </w:rPr>
              <w:t>, что</w:t>
            </w:r>
            <w:r w:rsidRPr="00762DB1">
              <w:rPr>
                <w:bCs/>
              </w:rPr>
              <w:t xml:space="preserve"> </w:t>
            </w:r>
            <w:r>
              <w:t>м</w:t>
            </w:r>
            <w:r w:rsidRPr="0008770A">
              <w:t xml:space="preserve">одули MIO-14 разрабатывались и производились ООО «АВВ» до 2012 года, до принятия требований, закреплённых в </w:t>
            </w:r>
            <w:hyperlink r:id="rId8" w:tgtFrame="_blank" w:history="1">
              <w:r w:rsidRPr="0008770A">
                <w:t>СТО 56947007-33.040.20.123-2012 «Аттестационные требования к устройствам противоаварийной автоматики (ПА)</w:t>
              </w:r>
            </w:hyperlink>
            <w:r w:rsidRPr="0008770A">
              <w:t>» и не в полном объеме соответствуют им в части эле</w:t>
            </w:r>
            <w:r w:rsidRPr="0008770A">
              <w:t>к</w:t>
            </w:r>
            <w:r w:rsidRPr="0008770A">
              <w:t>тромагнитной совместимости.</w:t>
            </w:r>
          </w:p>
        </w:tc>
      </w:tr>
      <w:tr w:rsidR="00C7407A" w:rsidRPr="00C7407A" w:rsidTr="00FF6638">
        <w:trPr>
          <w:trHeight w:val="92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963E95" w:rsidP="003A30A1">
            <w:pPr>
              <w:pStyle w:val="TableContents"/>
              <w:ind w:left="-105"/>
              <w:rPr>
                <w:color w:val="FF0000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  <w:bookmarkStart w:id="0" w:name="_GoBack"/>
      <w:bookmarkEnd w:id="0"/>
    </w:p>
    <w:sectPr w:rsidR="00963E95" w:rsidRPr="00B141F2">
      <w:headerReference w:type="default" r:id="rId9"/>
      <w:footerReference w:type="default" r:id="rId10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5C" w:rsidRDefault="00480D5C">
      <w:r>
        <w:separator/>
      </w:r>
    </w:p>
  </w:endnote>
  <w:endnote w:type="continuationSeparator" w:id="0">
    <w:p w:rsidR="00480D5C" w:rsidRDefault="0048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5C" w:rsidRDefault="00480D5C">
      <w:r>
        <w:separator/>
      </w:r>
    </w:p>
  </w:footnote>
  <w:footnote w:type="continuationSeparator" w:id="0">
    <w:p w:rsidR="00480D5C" w:rsidRDefault="00480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C73DF"/>
    <w:rsid w:val="0030273C"/>
    <w:rsid w:val="00366CFE"/>
    <w:rsid w:val="003A30A1"/>
    <w:rsid w:val="003B6BA0"/>
    <w:rsid w:val="00456BB2"/>
    <w:rsid w:val="004605DA"/>
    <w:rsid w:val="00480D5C"/>
    <w:rsid w:val="00683D53"/>
    <w:rsid w:val="007B7F30"/>
    <w:rsid w:val="00963E95"/>
    <w:rsid w:val="00982E1F"/>
    <w:rsid w:val="00AE20B1"/>
    <w:rsid w:val="00B141F2"/>
    <w:rsid w:val="00BC2E3E"/>
    <w:rsid w:val="00C638C8"/>
    <w:rsid w:val="00C7407A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f0">
    <w:name w:val="Table Grid"/>
    <w:basedOn w:val="a1"/>
    <w:uiPriority w:val="59"/>
    <w:rsid w:val="00FF663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f0">
    <w:name w:val="Table Grid"/>
    <w:basedOn w:val="a1"/>
    <w:uiPriority w:val="59"/>
    <w:rsid w:val="00FF663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k-ees.ru/upload/docs/20.139%20STO56947007-33.040.20.123-2012_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sk-ees.ru/upload/docs/20.139%20STO56947007-33.040.20.123-2012_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4</cp:revision>
  <cp:lastPrinted>2022-12-26T12:32:00Z</cp:lastPrinted>
  <dcterms:created xsi:type="dcterms:W3CDTF">2023-01-25T09:50:00Z</dcterms:created>
  <dcterms:modified xsi:type="dcterms:W3CDTF">2023-01-25T11:14:00Z</dcterms:modified>
</cp:coreProperties>
</file>